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宋体" w:hAnsi="宋体"/>
        </w:rPr>
      </w:pPr>
      <w:bookmarkStart w:id="2" w:name="_GoBack"/>
      <w:bookmarkStart w:id="0" w:name="_Toc15015"/>
      <w:bookmarkStart w:id="1" w:name="_Toc168764645"/>
      <w:r>
        <w:rPr>
          <w:rFonts w:hint="eastAsia" w:ascii="宋体" w:hAnsi="宋体"/>
        </w:rPr>
        <w:t>通州区潞城镇TZ02-0101-0009地块村庄产业用地项目（C3，商务办公等多功能用途）</w:t>
      </w:r>
    </w:p>
    <w:p>
      <w:pPr>
        <w:pStyle w:val="3"/>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ascii="宋体" w:hAnsi="宋体"/>
        </w:rPr>
      </w:pPr>
      <w:r>
        <w:rPr>
          <w:rFonts w:hint="eastAsia" w:ascii="宋体" w:hAnsi="宋体"/>
        </w:rPr>
        <w:t>集体经营性建设用地</w:t>
      </w:r>
      <w:r>
        <w:rPr>
          <w:rFonts w:ascii="宋体" w:hAnsi="宋体"/>
        </w:rPr>
        <w:t>使用权</w:t>
      </w:r>
      <w:r>
        <w:rPr>
          <w:rFonts w:hint="eastAsia" w:ascii="宋体" w:hAnsi="宋体"/>
        </w:rPr>
        <w:t>挂牌</w:t>
      </w:r>
      <w:r>
        <w:rPr>
          <w:rFonts w:ascii="宋体" w:hAnsi="宋体"/>
        </w:rPr>
        <w:t>出让公告</w:t>
      </w:r>
      <w:bookmarkEnd w:id="0"/>
      <w:bookmarkEnd w:id="1"/>
    </w:p>
    <w:bookmarkEnd w:id="2"/>
    <w:p>
      <w:pPr>
        <w:tabs>
          <w:tab w:val="left" w:pos="1297"/>
        </w:tabs>
        <w:spacing w:line="540" w:lineRule="exact"/>
        <w:ind w:firstLine="560" w:firstLineChars="200"/>
        <w:rPr>
          <w:rFonts w:hint="eastAsia" w:ascii="仿宋" w:hAnsi="仿宋" w:eastAsia="仿宋" w:cs="仿宋_GB2312"/>
          <w:color w:val="000000" w:themeColor="text1"/>
          <w:sz w:val="28"/>
          <w:szCs w:val="28"/>
        </w:rPr>
      </w:pPr>
    </w:p>
    <w:p>
      <w:pPr>
        <w:keepNext w:val="0"/>
        <w:keepLines w:val="0"/>
        <w:pageBreakBefore w:val="0"/>
        <w:widowControl w:val="0"/>
        <w:tabs>
          <w:tab w:val="left" w:pos="1297"/>
        </w:tabs>
        <w:kinsoku/>
        <w:wordWrap/>
        <w:overflowPunct/>
        <w:topLinePunct w:val="0"/>
        <w:autoSpaceDE/>
        <w:autoSpaceDN/>
        <w:bidi w:val="0"/>
        <w:adjustRightInd/>
        <w:snapToGrid/>
        <w:spacing w:line="540" w:lineRule="exact"/>
        <w:ind w:right="0" w:firstLine="560" w:firstLineChars="200"/>
        <w:textAlignment w:val="auto"/>
        <w:rPr>
          <w:rFonts w:ascii="仿宋" w:hAnsi="仿宋" w:eastAsia="仿宋" w:cs="仿宋_GB2312"/>
          <w:color w:val="auto"/>
          <w:sz w:val="28"/>
          <w:szCs w:val="28"/>
        </w:rPr>
      </w:pPr>
      <w:r>
        <w:rPr>
          <w:rFonts w:hint="eastAsia" w:ascii="仿宋" w:hAnsi="仿宋" w:eastAsia="仿宋" w:cs="仿宋_GB2312"/>
          <w:color w:val="000000" w:themeColor="text1"/>
          <w:sz w:val="28"/>
          <w:szCs w:val="28"/>
        </w:rPr>
        <w:t>根据国家和北京市关于集体经营性建设用地入市的相关规定，经北京市通州区</w:t>
      </w:r>
      <w:r>
        <w:rPr>
          <w:rFonts w:hint="eastAsia" w:ascii="仿宋" w:hAnsi="仿宋" w:eastAsia="仿宋" w:cs="仿宋_GB2312"/>
          <w:color w:val="auto"/>
          <w:sz w:val="28"/>
          <w:szCs w:val="28"/>
        </w:rPr>
        <w:t>人民政府批准，北京潞阳精诚运营管理有限责任公司决定在北京市公共资源交易服务平台和北京市规划和自然资源委员会网站公开挂牌出让通州区潞城镇TZ02-0101-0009地块村庄产业用地项目</w:t>
      </w:r>
      <w:r>
        <w:rPr>
          <w:rFonts w:hint="eastAsia" w:ascii="仿宋" w:hAnsi="仿宋" w:eastAsia="仿宋"/>
          <w:color w:val="auto"/>
          <w:sz w:val="28"/>
          <w:szCs w:val="28"/>
        </w:rPr>
        <w:t>（C3，商务办公等多功能用途）</w:t>
      </w:r>
      <w:r>
        <w:rPr>
          <w:rFonts w:hint="eastAsia" w:ascii="仿宋" w:hAnsi="仿宋" w:eastAsia="仿宋" w:cs="仿宋_GB2312"/>
          <w:color w:val="auto"/>
          <w:sz w:val="28"/>
          <w:szCs w:val="28"/>
        </w:rPr>
        <w:t>集体经营性建设用地使用权。</w:t>
      </w:r>
    </w:p>
    <w:p>
      <w:pPr>
        <w:keepNext w:val="0"/>
        <w:keepLines w:val="0"/>
        <w:pageBreakBefore w:val="0"/>
        <w:widowControl w:val="0"/>
        <w:kinsoku/>
        <w:wordWrap/>
        <w:overflowPunct/>
        <w:topLinePunct w:val="0"/>
        <w:autoSpaceDE/>
        <w:autoSpaceDN/>
        <w:bidi w:val="0"/>
        <w:adjustRightInd/>
        <w:snapToGrid/>
        <w:spacing w:line="540" w:lineRule="exact"/>
        <w:ind w:right="0" w:firstLine="560" w:firstLineChars="200"/>
        <w:jc w:val="left"/>
        <w:textAlignment w:val="auto"/>
        <w:rPr>
          <w:rFonts w:ascii="仿宋" w:hAnsi="仿宋" w:eastAsia="仿宋" w:cs="仿宋_GB2312"/>
          <w:color w:val="auto"/>
          <w:sz w:val="28"/>
          <w:szCs w:val="28"/>
        </w:rPr>
      </w:pPr>
      <w:r>
        <w:rPr>
          <w:rFonts w:hint="eastAsia" w:ascii="仿宋" w:hAnsi="仿宋" w:eastAsia="仿宋" w:cs="仿宋_GB2312"/>
          <w:color w:val="auto"/>
          <w:sz w:val="28"/>
          <w:szCs w:val="28"/>
        </w:rPr>
        <w:t>一、宗地基本情况</w:t>
      </w:r>
    </w:p>
    <w:p>
      <w:pPr>
        <w:keepNext w:val="0"/>
        <w:keepLines w:val="0"/>
        <w:pageBreakBefore w:val="0"/>
        <w:widowControl w:val="0"/>
        <w:tabs>
          <w:tab w:val="left" w:pos="1297"/>
        </w:tabs>
        <w:kinsoku/>
        <w:wordWrap/>
        <w:overflowPunct/>
        <w:topLinePunct w:val="0"/>
        <w:autoSpaceDE/>
        <w:autoSpaceDN/>
        <w:bidi w:val="0"/>
        <w:adjustRightInd/>
        <w:snapToGrid/>
        <w:spacing w:line="540" w:lineRule="exact"/>
        <w:ind w:right="0" w:firstLine="560" w:firstLineChars="200"/>
        <w:textAlignment w:val="auto"/>
        <w:rPr>
          <w:rFonts w:ascii="仿宋" w:hAnsi="仿宋" w:eastAsia="仿宋" w:cs="仿宋_GB2312"/>
          <w:color w:val="000000" w:themeColor="text1"/>
          <w:sz w:val="28"/>
        </w:rPr>
      </w:pPr>
      <w:r>
        <w:rPr>
          <w:rFonts w:hint="eastAsia" w:ascii="仿宋" w:hAnsi="仿宋" w:eastAsia="仿宋" w:cs="仿宋_GB2312"/>
          <w:color w:val="auto"/>
          <w:sz w:val="28"/>
        </w:rPr>
        <w:t>本次挂牌出让宗地位于通州区</w:t>
      </w:r>
      <w:r>
        <w:rPr>
          <w:rFonts w:hint="eastAsia" w:ascii="仿宋" w:hAnsi="仿宋" w:eastAsia="仿宋" w:cs="仿宋_GB2312"/>
          <w:color w:val="auto"/>
          <w:sz w:val="28"/>
          <w:lang w:eastAsia="zh-CN"/>
        </w:rPr>
        <w:t>潞城镇</w:t>
      </w:r>
      <w:r>
        <w:rPr>
          <w:rFonts w:hint="eastAsia" w:ascii="仿宋" w:hAnsi="仿宋" w:eastAsia="仿宋" w:cs="仿宋_GB2312"/>
          <w:color w:val="auto"/>
          <w:sz w:val="28"/>
        </w:rPr>
        <w:t>，具体四至范围是：东至规划潞城产业园，南至规划启运西街，西至甘棠路，北至规划武兴大街。该宗地以“三通一平”（“三通”指通临路、具备临水、临电的接入条件；“一平”指无施工障碍物的场地自然平整）供地，二级竞得人竣工验收前达到“</w:t>
      </w:r>
      <w:r>
        <w:rPr>
          <w:rFonts w:hint="eastAsia" w:ascii="仿宋" w:hAnsi="仿宋" w:eastAsia="仿宋" w:cs="仿宋_GB2312"/>
          <w:color w:val="000000" w:themeColor="text1"/>
          <w:sz w:val="28"/>
        </w:rPr>
        <w:t>六通一平”（“六通”指通路、通上水、通下水、通电、通讯、通燃气；“一平”指无施工障碍物的场地自然平整）的条件。</w:t>
      </w:r>
    </w:p>
    <w:p>
      <w:pPr>
        <w:keepNext w:val="0"/>
        <w:keepLines w:val="0"/>
        <w:pageBreakBefore w:val="0"/>
        <w:widowControl w:val="0"/>
        <w:tabs>
          <w:tab w:val="left" w:pos="1297"/>
        </w:tabs>
        <w:kinsoku/>
        <w:wordWrap/>
        <w:overflowPunct/>
        <w:topLinePunct w:val="0"/>
        <w:autoSpaceDE/>
        <w:autoSpaceDN/>
        <w:bidi w:val="0"/>
        <w:adjustRightInd/>
        <w:snapToGrid/>
        <w:spacing w:line="540" w:lineRule="exact"/>
        <w:ind w:right="0" w:firstLine="560" w:firstLineChars="200"/>
        <w:textAlignment w:val="auto"/>
        <w:rPr>
          <w:rFonts w:ascii="仿宋" w:hAnsi="仿宋" w:eastAsia="仿宋" w:cs="仿宋_GB2312"/>
          <w:color w:val="auto"/>
          <w:sz w:val="28"/>
        </w:rPr>
      </w:pPr>
      <w:r>
        <w:rPr>
          <w:rFonts w:hint="eastAsia" w:ascii="仿宋" w:hAnsi="仿宋" w:eastAsia="仿宋" w:cs="仿宋_GB2312"/>
          <w:color w:val="auto"/>
          <w:sz w:val="28"/>
        </w:rPr>
        <w:t>该宗地规划经济技术指标如下表：</w:t>
      </w:r>
    </w:p>
    <w:tbl>
      <w:tblPr>
        <w:tblStyle w:val="8"/>
        <w:tblW w:w="86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2048"/>
        <w:gridCol w:w="1573"/>
        <w:gridCol w:w="1329"/>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4" w:hRule="atLeast"/>
          <w:jc w:val="center"/>
        </w:trPr>
        <w:tc>
          <w:tcPr>
            <w:tcW w:w="1936" w:type="dxa"/>
            <w:vAlign w:val="center"/>
          </w:tcPr>
          <w:p>
            <w:pPr>
              <w:pStyle w:val="7"/>
              <w:ind w:firstLine="0" w:firstLineChars="0"/>
              <w:jc w:val="center"/>
              <w:rPr>
                <w:rFonts w:ascii="仿宋" w:hAnsi="仿宋" w:eastAsia="仿宋" w:cs="仿宋_GB2312"/>
                <w:color w:val="auto"/>
                <w:spacing w:val="0"/>
                <w:sz w:val="24"/>
              </w:rPr>
            </w:pPr>
            <w:r>
              <w:rPr>
                <w:rFonts w:hint="eastAsia" w:ascii="仿宋" w:hAnsi="仿宋" w:eastAsia="仿宋" w:cs="仿宋_GB2312"/>
                <w:color w:val="auto"/>
                <w:spacing w:val="0"/>
                <w:sz w:val="24"/>
              </w:rPr>
              <w:t>挂牌编号</w:t>
            </w:r>
          </w:p>
        </w:tc>
        <w:tc>
          <w:tcPr>
            <w:tcW w:w="2048" w:type="dxa"/>
            <w:vAlign w:val="center"/>
          </w:tcPr>
          <w:p>
            <w:pPr>
              <w:pStyle w:val="7"/>
              <w:ind w:firstLine="0" w:firstLineChars="0"/>
              <w:jc w:val="center"/>
              <w:rPr>
                <w:rFonts w:ascii="仿宋" w:hAnsi="仿宋" w:eastAsia="仿宋" w:cs="仿宋_GB2312"/>
                <w:color w:val="auto"/>
                <w:spacing w:val="0"/>
                <w:sz w:val="24"/>
              </w:rPr>
            </w:pPr>
            <w:r>
              <w:rPr>
                <w:rFonts w:hint="eastAsia" w:ascii="仿宋" w:hAnsi="仿宋" w:eastAsia="仿宋" w:cs="仿宋_GB2312"/>
                <w:color w:val="auto"/>
                <w:spacing w:val="0"/>
                <w:sz w:val="24"/>
              </w:rPr>
              <w:t>用地性质</w:t>
            </w:r>
          </w:p>
        </w:tc>
        <w:tc>
          <w:tcPr>
            <w:tcW w:w="1573" w:type="dxa"/>
            <w:vAlign w:val="center"/>
          </w:tcPr>
          <w:p>
            <w:pPr>
              <w:pStyle w:val="7"/>
              <w:ind w:firstLine="0" w:firstLineChars="0"/>
              <w:jc w:val="center"/>
              <w:rPr>
                <w:rFonts w:ascii="仿宋" w:hAnsi="仿宋" w:eastAsia="仿宋" w:cs="仿宋_GB2312"/>
                <w:color w:val="auto"/>
                <w:spacing w:val="0"/>
                <w:sz w:val="24"/>
              </w:rPr>
            </w:pPr>
            <w:r>
              <w:rPr>
                <w:rFonts w:hint="eastAsia" w:ascii="仿宋" w:hAnsi="仿宋" w:eastAsia="仿宋" w:cs="仿宋_GB2312"/>
                <w:color w:val="auto"/>
                <w:spacing w:val="0"/>
                <w:sz w:val="24"/>
              </w:rPr>
              <w:t>出让年限</w:t>
            </w:r>
          </w:p>
        </w:tc>
        <w:tc>
          <w:tcPr>
            <w:tcW w:w="1329" w:type="dxa"/>
            <w:vAlign w:val="center"/>
          </w:tcPr>
          <w:p>
            <w:pPr>
              <w:pStyle w:val="7"/>
              <w:ind w:firstLine="0" w:firstLineChars="0"/>
              <w:jc w:val="center"/>
              <w:rPr>
                <w:rFonts w:ascii="仿宋" w:hAnsi="仿宋" w:eastAsia="仿宋" w:cs="仿宋_GB2312"/>
                <w:color w:val="auto"/>
                <w:spacing w:val="0"/>
                <w:sz w:val="24"/>
              </w:rPr>
            </w:pPr>
            <w:r>
              <w:rPr>
                <w:rFonts w:hint="eastAsia" w:ascii="仿宋" w:hAnsi="仿宋" w:eastAsia="仿宋" w:cs="仿宋_GB2312"/>
                <w:color w:val="auto"/>
                <w:spacing w:val="0"/>
                <w:sz w:val="24"/>
              </w:rPr>
              <w:t>土地面积</w:t>
            </w:r>
          </w:p>
          <w:p>
            <w:pPr>
              <w:pStyle w:val="7"/>
              <w:ind w:firstLine="0" w:firstLineChars="0"/>
              <w:jc w:val="center"/>
              <w:rPr>
                <w:rFonts w:ascii="仿宋" w:hAnsi="仿宋" w:eastAsia="仿宋" w:cs="仿宋_GB2312"/>
                <w:color w:val="auto"/>
                <w:spacing w:val="0"/>
                <w:sz w:val="24"/>
              </w:rPr>
            </w:pPr>
            <w:r>
              <w:rPr>
                <w:rFonts w:hint="eastAsia" w:ascii="仿宋" w:hAnsi="仿宋" w:eastAsia="仿宋" w:cs="仿宋_GB2312"/>
                <w:color w:val="auto"/>
                <w:spacing w:val="0"/>
                <w:sz w:val="24"/>
              </w:rPr>
              <w:t>（平方米）</w:t>
            </w:r>
          </w:p>
        </w:tc>
        <w:tc>
          <w:tcPr>
            <w:tcW w:w="1725" w:type="dxa"/>
            <w:vAlign w:val="center"/>
          </w:tcPr>
          <w:p>
            <w:pPr>
              <w:pStyle w:val="7"/>
              <w:ind w:firstLine="0" w:firstLineChars="0"/>
              <w:jc w:val="center"/>
              <w:rPr>
                <w:rFonts w:ascii="仿宋" w:hAnsi="仿宋" w:eastAsia="仿宋" w:cs="仿宋_GB2312"/>
                <w:color w:val="auto"/>
                <w:spacing w:val="0"/>
                <w:sz w:val="24"/>
              </w:rPr>
            </w:pPr>
            <w:r>
              <w:rPr>
                <w:rFonts w:hint="eastAsia" w:ascii="仿宋" w:hAnsi="仿宋" w:eastAsia="仿宋" w:cs="仿宋_GB2312"/>
                <w:color w:val="auto"/>
                <w:spacing w:val="0"/>
                <w:sz w:val="24"/>
              </w:rPr>
              <w:t>建筑控制规模</w:t>
            </w:r>
          </w:p>
          <w:p>
            <w:pPr>
              <w:pStyle w:val="7"/>
              <w:ind w:firstLine="0" w:firstLineChars="0"/>
              <w:jc w:val="center"/>
              <w:rPr>
                <w:rFonts w:ascii="仿宋" w:hAnsi="仿宋" w:eastAsia="仿宋" w:cs="仿宋_GB2312"/>
                <w:color w:val="auto"/>
                <w:spacing w:val="0"/>
                <w:sz w:val="24"/>
              </w:rPr>
            </w:pPr>
            <w:r>
              <w:rPr>
                <w:rFonts w:hint="eastAsia" w:ascii="仿宋" w:hAnsi="仿宋" w:eastAsia="仿宋" w:cs="仿宋_GB2312"/>
                <w:color w:val="auto"/>
                <w:spacing w:val="0"/>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47" w:hRule="atLeast"/>
          <w:jc w:val="center"/>
        </w:trPr>
        <w:tc>
          <w:tcPr>
            <w:tcW w:w="1936" w:type="dxa"/>
            <w:vAlign w:val="center"/>
          </w:tcPr>
          <w:p>
            <w:pPr>
              <w:pStyle w:val="7"/>
              <w:ind w:firstLine="0" w:firstLineChars="0"/>
              <w:jc w:val="center"/>
              <w:rPr>
                <w:rFonts w:ascii="仿宋" w:hAnsi="仿宋" w:eastAsia="仿宋" w:cs="仿宋_GB2312"/>
                <w:color w:val="auto"/>
                <w:spacing w:val="0"/>
                <w:sz w:val="24"/>
              </w:rPr>
            </w:pPr>
            <w:r>
              <w:rPr>
                <w:rFonts w:hint="eastAsia" w:ascii="仿宋" w:hAnsi="仿宋" w:eastAsia="仿宋" w:cs="仿宋_GB2312"/>
                <w:color w:val="auto"/>
                <w:spacing w:val="0"/>
                <w:sz w:val="24"/>
              </w:rPr>
              <w:t>京规自挂（通）集[2024]00</w:t>
            </w:r>
            <w:r>
              <w:rPr>
                <w:rFonts w:hint="eastAsia" w:ascii="仿宋" w:hAnsi="仿宋" w:eastAsia="仿宋" w:cs="仿宋_GB2312"/>
                <w:color w:val="auto"/>
                <w:spacing w:val="0"/>
                <w:sz w:val="24"/>
                <w:lang w:val="en-US" w:eastAsia="zh-CN"/>
              </w:rPr>
              <w:t>4</w:t>
            </w:r>
            <w:r>
              <w:rPr>
                <w:rFonts w:hint="eastAsia" w:ascii="仿宋" w:hAnsi="仿宋" w:eastAsia="仿宋" w:cs="仿宋_GB2312"/>
                <w:color w:val="auto"/>
                <w:spacing w:val="0"/>
                <w:sz w:val="24"/>
              </w:rPr>
              <w:t>号</w:t>
            </w:r>
          </w:p>
        </w:tc>
        <w:tc>
          <w:tcPr>
            <w:tcW w:w="2048" w:type="dxa"/>
            <w:vAlign w:val="center"/>
          </w:tcPr>
          <w:p>
            <w:pPr>
              <w:pStyle w:val="7"/>
              <w:ind w:firstLine="0" w:firstLineChars="0"/>
              <w:jc w:val="center"/>
              <w:rPr>
                <w:rFonts w:ascii="仿宋" w:hAnsi="仿宋" w:eastAsia="仿宋" w:cs="仿宋_GB2312"/>
                <w:color w:val="auto"/>
                <w:spacing w:val="0"/>
                <w:sz w:val="24"/>
              </w:rPr>
            </w:pPr>
            <w:r>
              <w:rPr>
                <w:rFonts w:hint="eastAsia" w:ascii="仿宋" w:hAnsi="仿宋" w:eastAsia="仿宋" w:cs="仿宋_GB2312"/>
                <w:color w:val="auto"/>
                <w:spacing w:val="0"/>
                <w:sz w:val="24"/>
              </w:rPr>
              <w:t>村庄产业</w:t>
            </w:r>
          </w:p>
          <w:p>
            <w:pPr>
              <w:pStyle w:val="7"/>
              <w:ind w:firstLine="0" w:firstLineChars="0"/>
              <w:jc w:val="center"/>
              <w:rPr>
                <w:rFonts w:ascii="仿宋" w:hAnsi="仿宋" w:eastAsia="仿宋" w:cs="仿宋_GB2312"/>
                <w:color w:val="auto"/>
                <w:spacing w:val="0"/>
                <w:sz w:val="24"/>
              </w:rPr>
            </w:pPr>
            <w:r>
              <w:rPr>
                <w:rFonts w:hint="eastAsia" w:ascii="仿宋" w:hAnsi="仿宋" w:eastAsia="仿宋" w:cs="仿宋_GB2312"/>
                <w:color w:val="auto"/>
                <w:spacing w:val="0"/>
                <w:sz w:val="24"/>
              </w:rPr>
              <w:t>用地（C3,商务办公等多功能用途）</w:t>
            </w:r>
          </w:p>
        </w:tc>
        <w:tc>
          <w:tcPr>
            <w:tcW w:w="1573" w:type="dxa"/>
            <w:vAlign w:val="center"/>
          </w:tcPr>
          <w:p>
            <w:pPr>
              <w:pStyle w:val="7"/>
              <w:ind w:firstLine="0" w:firstLineChars="0"/>
              <w:jc w:val="center"/>
              <w:rPr>
                <w:rFonts w:hint="eastAsia" w:ascii="仿宋" w:hAnsi="仿宋" w:eastAsia="仿宋" w:cs="仿宋_GB2312"/>
                <w:color w:val="auto"/>
                <w:spacing w:val="0"/>
                <w:sz w:val="24"/>
                <w:lang w:eastAsia="zh-CN"/>
              </w:rPr>
            </w:pPr>
            <w:r>
              <w:rPr>
                <w:rFonts w:hint="eastAsia" w:ascii="仿宋" w:hAnsi="仿宋" w:eastAsia="仿宋" w:cs="仿宋_GB2312"/>
                <w:color w:val="auto"/>
                <w:spacing w:val="0"/>
                <w:sz w:val="24"/>
              </w:rPr>
              <w:t>办公50年</w:t>
            </w:r>
            <w:r>
              <w:rPr>
                <w:rFonts w:hint="eastAsia" w:ascii="仿宋" w:hAnsi="仿宋" w:eastAsia="仿宋" w:cs="仿宋_GB2312"/>
                <w:color w:val="auto"/>
                <w:spacing w:val="0"/>
                <w:sz w:val="24"/>
                <w:lang w:eastAsia="zh-CN"/>
              </w:rPr>
              <w:t>；</w:t>
            </w:r>
            <w:r>
              <w:rPr>
                <w:rFonts w:hint="eastAsia" w:ascii="仿宋" w:hAnsi="仿宋" w:eastAsia="仿宋" w:cs="仿宋_GB2312"/>
                <w:color w:val="auto"/>
                <w:spacing w:val="0"/>
                <w:sz w:val="24"/>
              </w:rPr>
              <w:t>商业40年</w:t>
            </w:r>
            <w:r>
              <w:rPr>
                <w:rFonts w:hint="eastAsia" w:ascii="仿宋" w:hAnsi="仿宋" w:eastAsia="仿宋" w:cs="仿宋_GB2312"/>
                <w:color w:val="auto"/>
                <w:spacing w:val="0"/>
                <w:sz w:val="24"/>
                <w:lang w:eastAsia="zh-CN"/>
              </w:rPr>
              <w:t>；</w:t>
            </w:r>
          </w:p>
          <w:p>
            <w:pPr>
              <w:pStyle w:val="7"/>
              <w:ind w:firstLine="0" w:firstLineChars="0"/>
              <w:jc w:val="center"/>
              <w:rPr>
                <w:rFonts w:ascii="仿宋" w:hAnsi="仿宋" w:eastAsia="仿宋" w:cs="仿宋_GB2312"/>
                <w:color w:val="auto"/>
                <w:spacing w:val="0"/>
                <w:sz w:val="24"/>
              </w:rPr>
            </w:pPr>
            <w:r>
              <w:rPr>
                <w:rFonts w:hint="eastAsia" w:ascii="仿宋" w:hAnsi="仿宋" w:eastAsia="仿宋" w:cs="仿宋_GB2312"/>
                <w:color w:val="auto"/>
                <w:spacing w:val="0"/>
                <w:sz w:val="24"/>
              </w:rPr>
              <w:t>出让年限内自持</w:t>
            </w:r>
          </w:p>
        </w:tc>
        <w:tc>
          <w:tcPr>
            <w:tcW w:w="1329" w:type="dxa"/>
            <w:vAlign w:val="center"/>
          </w:tcPr>
          <w:p>
            <w:pPr>
              <w:jc w:val="center"/>
              <w:rPr>
                <w:rFonts w:hint="default" w:ascii="仿宋" w:hAnsi="仿宋" w:eastAsia="仿宋" w:cs="仿宋_GB2312"/>
                <w:color w:val="auto"/>
                <w:kern w:val="15"/>
                <w:sz w:val="24"/>
                <w:u w:val="single"/>
                <w:lang w:val="en-US" w:eastAsia="zh-CN"/>
              </w:rPr>
            </w:pPr>
            <w:r>
              <w:rPr>
                <w:rFonts w:hint="eastAsia" w:ascii="仿宋" w:hAnsi="仿宋" w:eastAsia="仿宋" w:cs="仿宋_GB2312"/>
                <w:color w:val="auto"/>
                <w:sz w:val="24"/>
                <w:lang w:val="en-US" w:eastAsia="zh-CN"/>
              </w:rPr>
              <w:t>13348.31</w:t>
            </w:r>
          </w:p>
        </w:tc>
        <w:tc>
          <w:tcPr>
            <w:tcW w:w="1725" w:type="dxa"/>
            <w:vAlign w:val="center"/>
          </w:tcPr>
          <w:p>
            <w:pPr>
              <w:jc w:val="center"/>
              <w:rPr>
                <w:rFonts w:hint="default" w:ascii="仿宋" w:hAnsi="仿宋" w:eastAsia="仿宋" w:cs="仿宋_GB2312"/>
                <w:color w:val="auto"/>
                <w:kern w:val="15"/>
                <w:sz w:val="24"/>
                <w:lang w:val="en-US" w:eastAsia="zh-CN"/>
              </w:rPr>
            </w:pPr>
            <w:r>
              <w:rPr>
                <w:rFonts w:hint="eastAsia" w:ascii="仿宋" w:hAnsi="仿宋" w:eastAsia="仿宋" w:cs="仿宋_GB2312"/>
                <w:color w:val="auto"/>
                <w:sz w:val="24"/>
                <w:lang w:val="en-US" w:eastAsia="zh-CN"/>
              </w:rPr>
              <w:t>17352.8</w:t>
            </w:r>
          </w:p>
        </w:tc>
      </w:tr>
    </w:tbl>
    <w:p>
      <w:pPr>
        <w:pStyle w:val="4"/>
        <w:keepNext w:val="0"/>
        <w:keepLines w:val="0"/>
        <w:pageBreakBefore w:val="0"/>
        <w:widowControl w:val="0"/>
        <w:kinsoku/>
        <w:wordWrap/>
        <w:overflowPunct/>
        <w:topLinePunct w:val="0"/>
        <w:autoSpaceDE/>
        <w:autoSpaceDN/>
        <w:bidi w:val="0"/>
        <w:adjustRightInd/>
        <w:snapToGrid/>
        <w:spacing w:line="540" w:lineRule="exact"/>
        <w:ind w:right="0" w:firstLine="560" w:firstLineChars="200"/>
        <w:textAlignment w:val="auto"/>
        <w:rPr>
          <w:rFonts w:ascii="仿宋" w:hAnsi="仿宋" w:eastAsia="仿宋" w:cs="仿宋_GB2312"/>
          <w:color w:val="auto"/>
          <w:sz w:val="28"/>
          <w:szCs w:val="28"/>
        </w:rPr>
      </w:pPr>
      <w:r>
        <w:rPr>
          <w:rFonts w:hint="eastAsia" w:ascii="仿宋" w:hAnsi="仿宋" w:eastAsia="仿宋" w:cs="仿宋_GB2312"/>
          <w:color w:val="auto"/>
          <w:sz w:val="28"/>
          <w:szCs w:val="28"/>
        </w:rPr>
        <w:t>二、挂牌出让起始价为人民币6823.12万元，竞价阶梯为人民币</w:t>
      </w:r>
      <w:r>
        <w:rPr>
          <w:rFonts w:hint="eastAsia" w:ascii="仿宋" w:hAnsi="仿宋" w:eastAsia="仿宋" w:cs="仿宋_GB2312"/>
          <w:color w:val="auto"/>
          <w:sz w:val="28"/>
          <w:szCs w:val="28"/>
          <w:lang w:val="en-US" w:eastAsia="zh-CN"/>
        </w:rPr>
        <w:t>1</w:t>
      </w:r>
      <w:r>
        <w:rPr>
          <w:rFonts w:hint="eastAsia" w:ascii="仿宋" w:hAnsi="仿宋" w:eastAsia="仿宋" w:cs="仿宋_GB2312"/>
          <w:color w:val="auto"/>
          <w:sz w:val="28"/>
          <w:szCs w:val="28"/>
        </w:rPr>
        <w:t>0万元整，竞买保证金为人民币</w:t>
      </w:r>
      <w:r>
        <w:rPr>
          <w:rFonts w:hint="eastAsia" w:ascii="仿宋" w:hAnsi="仿宋" w:eastAsia="仿宋" w:cs="仿宋_GB2312"/>
          <w:color w:val="auto"/>
          <w:sz w:val="28"/>
          <w:szCs w:val="28"/>
          <w:lang w:val="en-US" w:eastAsia="zh-CN"/>
        </w:rPr>
        <w:t>1365</w:t>
      </w:r>
      <w:r>
        <w:rPr>
          <w:rFonts w:hint="eastAsia" w:ascii="仿宋" w:hAnsi="仿宋" w:eastAsia="仿宋" w:cs="仿宋_GB2312"/>
          <w:color w:val="auto"/>
          <w:sz w:val="28"/>
          <w:szCs w:val="28"/>
        </w:rPr>
        <w:t>万元整。</w:t>
      </w:r>
    </w:p>
    <w:p>
      <w:pPr>
        <w:pStyle w:val="4"/>
        <w:keepNext w:val="0"/>
        <w:keepLines w:val="0"/>
        <w:pageBreakBefore w:val="0"/>
        <w:widowControl w:val="0"/>
        <w:kinsoku/>
        <w:wordWrap/>
        <w:overflowPunct/>
        <w:topLinePunct w:val="0"/>
        <w:autoSpaceDE/>
        <w:autoSpaceDN/>
        <w:bidi w:val="0"/>
        <w:adjustRightInd/>
        <w:snapToGrid/>
        <w:spacing w:line="540" w:lineRule="exact"/>
        <w:ind w:right="0" w:firstLine="560" w:firstLineChars="200"/>
        <w:textAlignment w:val="auto"/>
        <w:rPr>
          <w:rFonts w:ascii="仿宋" w:hAnsi="仿宋" w:eastAsia="仿宋" w:cs="仿宋_GB2312"/>
          <w:color w:val="auto"/>
          <w:sz w:val="28"/>
          <w:szCs w:val="28"/>
        </w:rPr>
      </w:pPr>
      <w:r>
        <w:rPr>
          <w:rFonts w:hint="eastAsia" w:ascii="仿宋" w:hAnsi="仿宋" w:eastAsia="仿宋" w:cs="仿宋_GB2312"/>
          <w:sz w:val="28"/>
          <w:szCs w:val="28"/>
        </w:rPr>
        <w:t>三</w:t>
      </w:r>
      <w:r>
        <w:rPr>
          <w:rFonts w:hint="eastAsia" w:ascii="仿宋" w:hAnsi="仿宋" w:eastAsia="仿宋" w:cs="仿宋_GB2312"/>
          <w:color w:val="auto"/>
          <w:sz w:val="28"/>
          <w:szCs w:val="28"/>
        </w:rPr>
        <w:t>、中华人民共和国境内企业、其他组织和个人（除法律另有规定外）均可参加竞买，可以独立竞买也可以联合竞买。</w:t>
      </w:r>
    </w:p>
    <w:p>
      <w:pPr>
        <w:pStyle w:val="4"/>
        <w:keepNext w:val="0"/>
        <w:keepLines w:val="0"/>
        <w:pageBreakBefore w:val="0"/>
        <w:widowControl w:val="0"/>
        <w:kinsoku/>
        <w:wordWrap/>
        <w:overflowPunct/>
        <w:topLinePunct w:val="0"/>
        <w:autoSpaceDE/>
        <w:autoSpaceDN/>
        <w:bidi w:val="0"/>
        <w:adjustRightInd/>
        <w:snapToGrid/>
        <w:spacing w:line="540" w:lineRule="exact"/>
        <w:ind w:right="0" w:firstLine="560" w:firstLineChars="200"/>
        <w:textAlignment w:val="auto"/>
        <w:rPr>
          <w:rFonts w:ascii="仿宋" w:hAnsi="仿宋" w:eastAsia="仿宋" w:cs="仿宋_GB2312"/>
          <w:color w:val="auto"/>
          <w:sz w:val="28"/>
          <w:szCs w:val="28"/>
        </w:rPr>
      </w:pPr>
      <w:r>
        <w:rPr>
          <w:rFonts w:hint="eastAsia" w:ascii="仿宋" w:hAnsi="仿宋" w:eastAsia="仿宋" w:cs="仿宋_GB2312"/>
          <w:color w:val="auto"/>
          <w:sz w:val="28"/>
          <w:szCs w:val="28"/>
        </w:rPr>
        <w:t>竞买人需取得通州区</w:t>
      </w:r>
      <w:r>
        <w:rPr>
          <w:rFonts w:hint="eastAsia" w:ascii="仿宋" w:hAnsi="仿宋" w:eastAsia="仿宋" w:cs="仿宋_GB2312"/>
          <w:color w:val="auto"/>
          <w:sz w:val="28"/>
          <w:szCs w:val="28"/>
          <w:lang w:eastAsia="zh-CN"/>
        </w:rPr>
        <w:t>潞城</w:t>
      </w:r>
      <w:r>
        <w:rPr>
          <w:rFonts w:hint="eastAsia" w:ascii="仿宋" w:hAnsi="仿宋" w:eastAsia="仿宋" w:cs="仿宋_GB2312"/>
          <w:color w:val="auto"/>
          <w:sz w:val="28"/>
          <w:szCs w:val="28"/>
        </w:rPr>
        <w:t>镇政府出具的《企业资格预审意见》。竞买人可联系出让方协调办理《企业资格预审意见》。</w:t>
      </w:r>
    </w:p>
    <w:p>
      <w:pPr>
        <w:pStyle w:val="4"/>
        <w:keepNext w:val="0"/>
        <w:keepLines w:val="0"/>
        <w:pageBreakBefore w:val="0"/>
        <w:widowControl w:val="0"/>
        <w:kinsoku/>
        <w:wordWrap/>
        <w:overflowPunct/>
        <w:topLinePunct w:val="0"/>
        <w:autoSpaceDE/>
        <w:autoSpaceDN/>
        <w:bidi w:val="0"/>
        <w:adjustRightInd/>
        <w:snapToGrid/>
        <w:spacing w:line="540" w:lineRule="exact"/>
        <w:ind w:right="0" w:firstLine="560" w:firstLineChars="200"/>
        <w:textAlignment w:val="auto"/>
        <w:rPr>
          <w:rFonts w:ascii="仿宋" w:hAnsi="仿宋" w:eastAsia="仿宋" w:cs="仿宋_GB2312"/>
          <w:color w:val="auto"/>
          <w:sz w:val="28"/>
          <w:szCs w:val="28"/>
        </w:rPr>
      </w:pPr>
      <w:r>
        <w:rPr>
          <w:rFonts w:hint="eastAsia" w:ascii="仿宋" w:hAnsi="仿宋" w:eastAsia="仿宋" w:cs="仿宋_GB2312"/>
          <w:color w:val="auto"/>
          <w:sz w:val="28"/>
          <w:szCs w:val="28"/>
        </w:rPr>
        <w:t>四、本次挂牌出让竞价起始时间为</w:t>
      </w:r>
      <w:r>
        <w:rPr>
          <w:rFonts w:ascii="仿宋" w:hAnsi="仿宋" w:eastAsia="仿宋" w:cs="仿宋_GB2312"/>
          <w:color w:val="auto"/>
          <w:sz w:val="28"/>
          <w:szCs w:val="28"/>
        </w:rPr>
        <w:t>2024年</w:t>
      </w:r>
      <w:r>
        <w:rPr>
          <w:rFonts w:hint="eastAsia" w:ascii="仿宋" w:hAnsi="仿宋" w:eastAsia="仿宋" w:cs="仿宋_GB2312"/>
          <w:color w:val="auto"/>
          <w:sz w:val="28"/>
          <w:szCs w:val="28"/>
          <w:lang w:val="en-US" w:eastAsia="zh-CN"/>
        </w:rPr>
        <w:t>11</w:t>
      </w:r>
      <w:r>
        <w:rPr>
          <w:rFonts w:ascii="仿宋" w:hAnsi="仿宋" w:eastAsia="仿宋" w:cs="仿宋_GB2312"/>
          <w:color w:val="auto"/>
          <w:sz w:val="28"/>
          <w:szCs w:val="28"/>
        </w:rPr>
        <w:t>月</w:t>
      </w:r>
      <w:r>
        <w:rPr>
          <w:rFonts w:hint="eastAsia" w:ascii="仿宋" w:hAnsi="仿宋" w:eastAsia="仿宋" w:cs="仿宋_GB2312"/>
          <w:color w:val="auto"/>
          <w:sz w:val="28"/>
          <w:szCs w:val="28"/>
          <w:lang w:val="en-US" w:eastAsia="zh-CN"/>
        </w:rPr>
        <w:t>14</w:t>
      </w:r>
      <w:r>
        <w:rPr>
          <w:rFonts w:ascii="仿宋" w:hAnsi="仿宋" w:eastAsia="仿宋" w:cs="仿宋_GB2312"/>
          <w:color w:val="auto"/>
          <w:sz w:val="28"/>
          <w:szCs w:val="28"/>
        </w:rPr>
        <w:t>日9:00</w:t>
      </w:r>
      <w:r>
        <w:rPr>
          <w:rFonts w:hint="eastAsia" w:ascii="仿宋" w:hAnsi="仿宋" w:eastAsia="仿宋" w:cs="仿宋_GB2312"/>
          <w:color w:val="auto"/>
          <w:sz w:val="28"/>
          <w:szCs w:val="28"/>
        </w:rPr>
        <w:t>起，挂牌竞价期限不少于10个工作日，自收到第一份有效竞买报价单当日起，至延后的第11个工作日15:00止为挂牌竞价时间。</w:t>
      </w:r>
    </w:p>
    <w:p>
      <w:pPr>
        <w:pStyle w:val="4"/>
        <w:keepNext w:val="0"/>
        <w:keepLines w:val="0"/>
        <w:pageBreakBefore w:val="0"/>
        <w:widowControl w:val="0"/>
        <w:kinsoku/>
        <w:wordWrap/>
        <w:overflowPunct/>
        <w:topLinePunct w:val="0"/>
        <w:autoSpaceDE/>
        <w:autoSpaceDN/>
        <w:bidi w:val="0"/>
        <w:adjustRightInd/>
        <w:snapToGrid/>
        <w:spacing w:line="540" w:lineRule="exact"/>
        <w:ind w:right="0" w:firstLine="560" w:firstLineChars="200"/>
        <w:textAlignment w:val="auto"/>
        <w:rPr>
          <w:rFonts w:ascii="仿宋" w:hAnsi="仿宋" w:eastAsia="仿宋" w:cs="仿宋_GB2312"/>
          <w:color w:val="auto"/>
          <w:sz w:val="28"/>
          <w:szCs w:val="28"/>
        </w:rPr>
      </w:pPr>
      <w:r>
        <w:rPr>
          <w:rFonts w:hint="eastAsia" w:ascii="仿宋" w:hAnsi="仿宋" w:eastAsia="仿宋" w:cs="仿宋_GB2312"/>
          <w:color w:val="auto"/>
          <w:sz w:val="28"/>
          <w:szCs w:val="28"/>
        </w:rPr>
        <w:t>五、本次挂牌不接受电话、邮寄及口头报价。</w:t>
      </w:r>
    </w:p>
    <w:p>
      <w:pPr>
        <w:pStyle w:val="4"/>
        <w:keepNext w:val="0"/>
        <w:keepLines w:val="0"/>
        <w:pageBreakBefore w:val="0"/>
        <w:widowControl w:val="0"/>
        <w:kinsoku/>
        <w:wordWrap/>
        <w:overflowPunct/>
        <w:topLinePunct w:val="0"/>
        <w:autoSpaceDE/>
        <w:autoSpaceDN/>
        <w:bidi w:val="0"/>
        <w:adjustRightInd/>
        <w:snapToGrid/>
        <w:spacing w:line="540" w:lineRule="exact"/>
        <w:ind w:right="0" w:firstLine="560" w:firstLineChars="200"/>
        <w:textAlignment w:val="auto"/>
        <w:rPr>
          <w:rFonts w:ascii="仿宋" w:hAnsi="仿宋" w:eastAsia="仿宋"/>
          <w:bCs w:val="0"/>
          <w:spacing w:val="0"/>
          <w:kern w:val="2"/>
          <w:sz w:val="28"/>
          <w:szCs w:val="28"/>
        </w:rPr>
      </w:pPr>
      <w:r>
        <w:rPr>
          <w:rFonts w:hint="eastAsia" w:ascii="仿宋" w:hAnsi="仿宋" w:eastAsia="仿宋" w:cs="仿宋_GB2312"/>
          <w:color w:val="auto"/>
          <w:sz w:val="28"/>
          <w:szCs w:val="28"/>
        </w:rPr>
        <w:t>六、本次挂牌出让的详细资料和竞买要求请参阅有关挂牌文件。挂牌文件于2024年</w:t>
      </w:r>
      <w:r>
        <w:rPr>
          <w:rFonts w:hint="eastAsia" w:ascii="仿宋" w:hAnsi="仿宋" w:eastAsia="仿宋" w:cs="仿宋_GB2312"/>
          <w:color w:val="auto"/>
          <w:sz w:val="28"/>
          <w:szCs w:val="28"/>
          <w:lang w:val="en-US" w:eastAsia="zh-CN"/>
        </w:rPr>
        <w:t>10</w:t>
      </w:r>
      <w:r>
        <w:rPr>
          <w:rFonts w:hint="eastAsia" w:ascii="仿宋" w:hAnsi="仿宋" w:eastAsia="仿宋" w:cs="仿宋_GB2312"/>
          <w:color w:val="auto"/>
          <w:sz w:val="28"/>
          <w:szCs w:val="28"/>
        </w:rPr>
        <w:t>月</w:t>
      </w:r>
      <w:r>
        <w:rPr>
          <w:rFonts w:hint="eastAsia" w:ascii="仿宋" w:hAnsi="仿宋" w:eastAsia="仿宋" w:cs="仿宋_GB2312"/>
          <w:color w:val="auto"/>
          <w:sz w:val="28"/>
          <w:szCs w:val="28"/>
          <w:lang w:val="en-US" w:eastAsia="zh-CN"/>
        </w:rPr>
        <w:t>25</w:t>
      </w:r>
      <w:r>
        <w:rPr>
          <w:rFonts w:hint="eastAsia" w:ascii="仿宋" w:hAnsi="仿宋" w:eastAsia="仿宋" w:cs="仿宋_GB2312"/>
          <w:color w:val="auto"/>
          <w:sz w:val="28"/>
          <w:szCs w:val="28"/>
        </w:rPr>
        <w:t>日起，可在</w:t>
      </w:r>
      <w:r>
        <w:rPr>
          <w:rFonts w:hint="eastAsia" w:ascii="仿宋" w:hAnsi="仿宋" w:eastAsia="仿宋" w:cs="仿宋_GB2312"/>
          <w:color w:val="auto"/>
          <w:sz w:val="28"/>
        </w:rPr>
        <w:t>北京市公共资源交易服务平台网站（</w:t>
      </w:r>
      <w:r>
        <w:rPr>
          <w:rFonts w:ascii="仿宋" w:hAnsi="仿宋" w:eastAsia="仿宋" w:cs="仿宋_GB2312"/>
          <w:color w:val="auto"/>
          <w:sz w:val="28"/>
          <w:szCs w:val="28"/>
        </w:rPr>
        <w:t>https://ggzyfw.beijing.gov.cn/</w:t>
      </w:r>
      <w:r>
        <w:rPr>
          <w:rFonts w:hint="eastAsia" w:ascii="仿宋" w:hAnsi="仿宋" w:eastAsia="仿宋" w:cs="仿宋_GB2312"/>
          <w:color w:val="auto"/>
          <w:sz w:val="28"/>
        </w:rPr>
        <w:t>）或</w:t>
      </w:r>
      <w:r>
        <w:rPr>
          <w:rFonts w:hint="eastAsia" w:ascii="仿宋" w:hAnsi="仿宋" w:eastAsia="仿宋" w:cs="仿宋_GB2312"/>
          <w:color w:val="auto"/>
          <w:sz w:val="28"/>
          <w:szCs w:val="28"/>
        </w:rPr>
        <w:t>北京市规划和自然资源委员会网站（</w:t>
      </w:r>
      <w:r>
        <w:rPr>
          <w:rFonts w:ascii="仿宋" w:hAnsi="仿宋" w:eastAsia="仿宋" w:cs="仿宋_GB2312"/>
          <w:color w:val="auto"/>
          <w:sz w:val="28"/>
          <w:szCs w:val="28"/>
        </w:rPr>
        <w:t>https://ghzrzyw.beijing.gov.cn/</w:t>
      </w:r>
      <w:r>
        <w:rPr>
          <w:rFonts w:hint="eastAsia" w:ascii="仿宋" w:hAnsi="仿宋" w:eastAsia="仿宋"/>
          <w:color w:val="auto"/>
        </w:rPr>
        <w:t>）</w:t>
      </w:r>
      <w:r>
        <w:rPr>
          <w:rFonts w:hint="eastAsia" w:ascii="仿宋" w:hAnsi="仿宋" w:eastAsia="仿宋" w:cs="仿宋_GB2312"/>
          <w:color w:val="auto"/>
          <w:sz w:val="28"/>
          <w:szCs w:val="28"/>
        </w:rPr>
        <w:t>下载。</w:t>
      </w:r>
    </w:p>
    <w:p>
      <w:pPr>
        <w:keepNext w:val="0"/>
        <w:keepLines w:val="0"/>
        <w:pageBreakBefore w:val="0"/>
        <w:widowControl w:val="0"/>
        <w:kinsoku/>
        <w:wordWrap/>
        <w:overflowPunct/>
        <w:topLinePunct w:val="0"/>
        <w:autoSpaceDE/>
        <w:autoSpaceDN/>
        <w:bidi w:val="0"/>
        <w:adjustRightInd/>
        <w:snapToGrid/>
        <w:spacing w:line="540" w:lineRule="exact"/>
        <w:ind w:right="0" w:firstLine="560" w:firstLineChars="200"/>
        <w:textAlignment w:val="auto"/>
        <w:rPr>
          <w:rFonts w:ascii="仿宋" w:hAnsi="仿宋" w:eastAsia="仿宋"/>
          <w:sz w:val="28"/>
          <w:szCs w:val="28"/>
        </w:rPr>
      </w:pPr>
    </w:p>
    <w:p>
      <w:pPr>
        <w:pStyle w:val="2"/>
        <w:rPr>
          <w:rFonts w:ascii="仿宋" w:hAnsi="仿宋" w:eastAsia="仿宋"/>
          <w:sz w:val="28"/>
          <w:szCs w:val="28"/>
        </w:rPr>
      </w:pPr>
    </w:p>
    <w:p/>
    <w:p>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北京市通州区规划和自然资源综合事务中心</w:t>
      </w:r>
    </w:p>
    <w:p>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jc w:val="left"/>
        <w:textAlignment w:val="auto"/>
        <w:rPr>
          <w:rFonts w:ascii="仿宋" w:hAnsi="仿宋" w:eastAsia="仿宋" w:cs="仿宋_GB2312"/>
          <w:sz w:val="28"/>
          <w:szCs w:val="28"/>
        </w:rPr>
      </w:pPr>
      <w:r>
        <w:rPr>
          <w:rFonts w:hint="eastAsia" w:ascii="仿宋" w:hAnsi="仿宋" w:eastAsia="仿宋" w:cs="仿宋_GB2312"/>
          <w:sz w:val="28"/>
          <w:szCs w:val="28"/>
        </w:rPr>
        <w:t>地址：北京市通州区潞苑南大街3号</w:t>
      </w:r>
    </w:p>
    <w:p>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jc w:val="left"/>
        <w:textAlignment w:val="auto"/>
        <w:rPr>
          <w:rFonts w:ascii="仿宋" w:hAnsi="仿宋" w:eastAsia="仿宋" w:cs="仿宋_GB2312"/>
          <w:sz w:val="28"/>
          <w:szCs w:val="28"/>
        </w:rPr>
      </w:pPr>
      <w:r>
        <w:rPr>
          <w:rFonts w:hint="eastAsia" w:ascii="仿宋" w:hAnsi="仿宋" w:eastAsia="仿宋" w:cs="仿宋_GB2312"/>
          <w:sz w:val="28"/>
          <w:szCs w:val="28"/>
        </w:rPr>
        <w:t>咨询电话：010-69550939</w:t>
      </w:r>
    </w:p>
    <w:p>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520" w:lineRule="exact"/>
        <w:ind w:right="0" w:firstLine="464" w:firstLineChars="200"/>
        <w:textAlignment w:val="auto"/>
        <w:rPr>
          <w:rFonts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北京市公共资源交易中心</w:t>
      </w:r>
    </w:p>
    <w:p>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地址：北京市西三环南路 1 号北京市政务服务中心 5 层</w:t>
      </w:r>
    </w:p>
    <w:p>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联系方式：010-83916781、83916783</w:t>
      </w:r>
    </w:p>
    <w:p>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ascii="仿宋" w:hAnsi="仿宋" w:eastAsia="仿宋"/>
          <w:sz w:val="28"/>
          <w:szCs w:val="28"/>
        </w:rPr>
      </w:pPr>
    </w:p>
    <w:p>
      <w:pPr>
        <w:pStyle w:val="2"/>
        <w:keepNext w:val="0"/>
        <w:keepLines w:val="0"/>
        <w:pageBreakBefore w:val="0"/>
        <w:widowControl w:val="0"/>
        <w:kinsoku/>
        <w:wordWrap/>
        <w:overflowPunct/>
        <w:topLinePunct w:val="0"/>
        <w:autoSpaceDE/>
        <w:autoSpaceDN/>
        <w:bidi w:val="0"/>
        <w:adjustRightInd/>
        <w:snapToGrid/>
        <w:spacing w:line="520" w:lineRule="exact"/>
        <w:ind w:right="0" w:firstLine="464" w:firstLineChars="200"/>
        <w:jc w:val="both"/>
        <w:textAlignment w:val="auto"/>
        <w:rPr>
          <w:rFonts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ascii="仿宋" w:hAnsi="仿宋" w:eastAsia="仿宋"/>
          <w:sz w:val="28"/>
          <w:szCs w:val="28"/>
        </w:rPr>
      </w:pPr>
    </w:p>
    <w:p>
      <w:pPr>
        <w:pStyle w:val="2"/>
        <w:keepNext w:val="0"/>
        <w:keepLines w:val="0"/>
        <w:pageBreakBefore w:val="0"/>
        <w:widowControl w:val="0"/>
        <w:kinsoku/>
        <w:wordWrap/>
        <w:overflowPunct/>
        <w:topLinePunct w:val="0"/>
        <w:autoSpaceDE/>
        <w:autoSpaceDN/>
        <w:bidi w:val="0"/>
        <w:adjustRightInd/>
        <w:snapToGrid/>
        <w:spacing w:line="520" w:lineRule="exact"/>
        <w:ind w:right="0" w:firstLine="504" w:firstLineChars="200"/>
        <w:textAlignment w:val="auto"/>
      </w:pPr>
    </w:p>
    <w:p>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ascii="仿宋" w:hAnsi="仿宋" w:eastAsia="仿宋" w:cs="仿宋_GB2312"/>
          <w:sz w:val="28"/>
          <w:szCs w:val="28"/>
        </w:rPr>
      </w:pPr>
      <w:r>
        <w:rPr>
          <w:rFonts w:hint="eastAsia" w:ascii="仿宋" w:hAnsi="仿宋" w:eastAsia="仿宋" w:cs="仿宋_GB2312"/>
          <w:sz w:val="28"/>
          <w:szCs w:val="28"/>
        </w:rPr>
        <w:t>出让方：北京潞阳精诚运营管理有限责任公司</w:t>
      </w:r>
    </w:p>
    <w:p>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_GB2312"/>
          <w:sz w:val="28"/>
          <w:szCs w:val="28"/>
        </w:rPr>
      </w:pPr>
      <w:r>
        <w:rPr>
          <w:rFonts w:hint="eastAsia" w:ascii="仿宋" w:hAnsi="仿宋" w:eastAsia="仿宋" w:cs="仿宋_GB2312"/>
          <w:sz w:val="28"/>
          <w:szCs w:val="28"/>
        </w:rPr>
        <w:t>地址：北京市通州区潞城镇武兴路7号</w:t>
      </w:r>
    </w:p>
    <w:p>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_GB2312"/>
          <w:sz w:val="28"/>
          <w:szCs w:val="28"/>
        </w:rPr>
      </w:pPr>
      <w:r>
        <w:rPr>
          <w:rFonts w:hint="eastAsia" w:ascii="仿宋" w:hAnsi="仿宋" w:eastAsia="仿宋" w:cs="仿宋_GB2312"/>
          <w:sz w:val="28"/>
          <w:szCs w:val="28"/>
        </w:rPr>
        <w:t>咨询电话：010-89585819</w:t>
      </w:r>
    </w:p>
    <w:p>
      <w:pPr>
        <w:pStyle w:val="2"/>
        <w:keepNext w:val="0"/>
        <w:keepLines w:val="0"/>
        <w:pageBreakBefore w:val="0"/>
        <w:widowControl w:val="0"/>
        <w:kinsoku/>
        <w:wordWrap/>
        <w:overflowPunct/>
        <w:topLinePunct w:val="0"/>
        <w:autoSpaceDE/>
        <w:autoSpaceDN/>
        <w:bidi w:val="0"/>
        <w:adjustRightInd/>
        <w:snapToGrid/>
        <w:spacing w:line="520" w:lineRule="exact"/>
        <w:ind w:right="0" w:firstLine="560" w:firstLineChars="200"/>
        <w:jc w:val="left"/>
        <w:textAlignment w:val="auto"/>
        <w:rPr>
          <w:rFonts w:ascii="仿宋" w:hAnsi="仿宋" w:eastAsia="仿宋"/>
          <w:bCs w:val="0"/>
          <w:spacing w:val="0"/>
          <w:kern w:val="2"/>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520" w:lineRule="exact"/>
        <w:ind w:right="0"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jc w:val="center"/>
        <w:textAlignment w:val="auto"/>
        <w:rPr>
          <w:rFonts w:ascii="仿宋" w:hAnsi="仿宋" w:eastAsia="仿宋"/>
          <w:sz w:val="28"/>
        </w:rPr>
      </w:pPr>
      <w:r>
        <w:rPr>
          <w:rFonts w:hint="eastAsia" w:ascii="仿宋" w:hAnsi="仿宋" w:eastAsia="仿宋"/>
          <w:sz w:val="28"/>
        </w:rPr>
        <w:t xml:space="preserve">                       北京市规划和自然资源委员会通</w:t>
      </w:r>
      <w:r>
        <w:rPr>
          <w:rFonts w:hint="eastAsia" w:ascii="仿宋" w:hAnsi="仿宋" w:eastAsia="仿宋" w:cs="宋体"/>
          <w:sz w:val="28"/>
        </w:rPr>
        <w:t>州</w:t>
      </w:r>
      <w:r>
        <w:rPr>
          <w:rFonts w:hint="eastAsia" w:ascii="仿宋" w:hAnsi="仿宋" w:eastAsia="仿宋"/>
          <w:sz w:val="28"/>
        </w:rPr>
        <w:t>分局</w:t>
      </w:r>
    </w:p>
    <w:p>
      <w:pPr>
        <w:pStyle w:val="2"/>
        <w:keepNext w:val="0"/>
        <w:keepLines w:val="0"/>
        <w:pageBreakBefore w:val="0"/>
        <w:widowControl w:val="0"/>
        <w:kinsoku/>
        <w:wordWrap/>
        <w:overflowPunct/>
        <w:topLinePunct w:val="0"/>
        <w:autoSpaceDE/>
        <w:autoSpaceDN/>
        <w:bidi w:val="0"/>
        <w:adjustRightInd/>
        <w:snapToGrid/>
        <w:spacing w:line="520" w:lineRule="exact"/>
        <w:ind w:right="0" w:firstLine="504" w:firstLineChars="200"/>
        <w:textAlignment w:val="auto"/>
        <w:rPr>
          <w:rFonts w:ascii="仿宋" w:hAnsi="仿宋" w:eastAsia="仿宋"/>
          <w:color w:val="000000" w:themeColor="text1"/>
          <w:sz w:val="28"/>
          <w:szCs w:val="28"/>
        </w:rPr>
      </w:pPr>
      <w:r>
        <w:rPr>
          <w:rFonts w:hint="eastAsia" w:ascii="仿宋" w:hAnsi="仿宋" w:eastAsia="仿宋"/>
        </w:rPr>
        <w:t xml:space="preserve">                             </w:t>
      </w:r>
      <w:r>
        <w:rPr>
          <w:rFonts w:hint="eastAsia" w:ascii="仿宋" w:hAnsi="仿宋" w:eastAsia="仿宋"/>
          <w:color w:val="000000" w:themeColor="text1"/>
        </w:rPr>
        <w:t xml:space="preserve"> </w:t>
      </w:r>
      <w:r>
        <w:rPr>
          <w:rFonts w:hint="eastAsia" w:ascii="仿宋" w:hAnsi="仿宋" w:eastAsia="仿宋"/>
          <w:color w:val="000000" w:themeColor="text1"/>
          <w:sz w:val="28"/>
          <w:szCs w:val="28"/>
        </w:rPr>
        <w:t xml:space="preserve">  </w:t>
      </w:r>
      <w:r>
        <w:rPr>
          <w:rFonts w:ascii="仿宋" w:hAnsi="仿宋" w:eastAsia="仿宋"/>
          <w:color w:val="000000" w:themeColor="text1"/>
          <w:sz w:val="28"/>
          <w:szCs w:val="28"/>
        </w:rPr>
        <w:t>二Ο二</w:t>
      </w:r>
      <w:r>
        <w:rPr>
          <w:rFonts w:hint="eastAsia" w:ascii="仿宋" w:hAnsi="仿宋" w:eastAsia="仿宋" w:cs="宋体"/>
          <w:color w:val="000000" w:themeColor="text1"/>
          <w:sz w:val="28"/>
          <w:szCs w:val="28"/>
        </w:rPr>
        <w:t>四</w:t>
      </w:r>
      <w:r>
        <w:rPr>
          <w:rFonts w:ascii="仿宋" w:hAnsi="仿宋" w:eastAsia="仿宋"/>
          <w:color w:val="000000" w:themeColor="text1"/>
          <w:sz w:val="28"/>
          <w:szCs w:val="28"/>
        </w:rPr>
        <w:t>年</w:t>
      </w:r>
      <w:r>
        <w:rPr>
          <w:rFonts w:hint="eastAsia" w:ascii="仿宋" w:hAnsi="仿宋" w:eastAsia="仿宋"/>
          <w:color w:val="000000" w:themeColor="text1"/>
          <w:sz w:val="28"/>
          <w:szCs w:val="28"/>
          <w:lang w:eastAsia="zh-CN"/>
        </w:rPr>
        <w:t>十</w:t>
      </w:r>
      <w:r>
        <w:rPr>
          <w:rFonts w:ascii="仿宋" w:hAnsi="仿宋" w:eastAsia="仿宋"/>
          <w:color w:val="000000" w:themeColor="text1"/>
          <w:sz w:val="28"/>
          <w:szCs w:val="28"/>
        </w:rPr>
        <w:t>月</w:t>
      </w:r>
      <w:r>
        <w:rPr>
          <w:rFonts w:hint="eastAsia" w:ascii="仿宋" w:hAnsi="仿宋" w:eastAsia="仿宋"/>
          <w:color w:val="000000" w:themeColor="text1"/>
          <w:sz w:val="28"/>
          <w:szCs w:val="28"/>
        </w:rPr>
        <w:t>二十</w:t>
      </w:r>
      <w:r>
        <w:rPr>
          <w:rFonts w:hint="eastAsia" w:ascii="仿宋" w:hAnsi="仿宋" w:eastAsia="仿宋"/>
          <w:color w:val="000000" w:themeColor="text1"/>
          <w:sz w:val="28"/>
          <w:szCs w:val="28"/>
          <w:lang w:eastAsia="zh-CN"/>
        </w:rPr>
        <w:t>五</w:t>
      </w:r>
      <w:r>
        <w:rPr>
          <w:rFonts w:hint="eastAsia" w:ascii="仿宋" w:hAnsi="仿宋" w:eastAsia="仿宋"/>
          <w:color w:val="000000" w:themeColor="text1"/>
          <w:sz w:val="28"/>
          <w:szCs w:val="28"/>
        </w:rPr>
        <w:t>日</w:t>
      </w:r>
    </w:p>
    <w:p/>
    <w:sectPr>
      <w:footerReference r:id="rId3" w:type="default"/>
      <w:pgSz w:w="11906" w:h="16838"/>
      <w:pgMar w:top="1531" w:right="1474" w:bottom="153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044181"/>
      <w:docPartObj>
        <w:docPartGallery w:val="autotext"/>
      </w:docPartObj>
    </w:sdtPr>
    <w:sdtContent>
      <w:p>
        <w:pPr>
          <w:pStyle w:val="5"/>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554CA"/>
    <w:rsid w:val="001F46B5"/>
    <w:rsid w:val="003A4023"/>
    <w:rsid w:val="00426B58"/>
    <w:rsid w:val="00534056"/>
    <w:rsid w:val="00597A07"/>
    <w:rsid w:val="006310ED"/>
    <w:rsid w:val="0063612A"/>
    <w:rsid w:val="006878E9"/>
    <w:rsid w:val="007D4E67"/>
    <w:rsid w:val="00950B32"/>
    <w:rsid w:val="009554CA"/>
    <w:rsid w:val="00A534EC"/>
    <w:rsid w:val="00B61346"/>
    <w:rsid w:val="00C37BBB"/>
    <w:rsid w:val="00C71B30"/>
    <w:rsid w:val="00C81DFC"/>
    <w:rsid w:val="00D155EB"/>
    <w:rsid w:val="00D84EF9"/>
    <w:rsid w:val="00E47809"/>
    <w:rsid w:val="00F043CC"/>
    <w:rsid w:val="00F34C9B"/>
    <w:rsid w:val="00FB7026"/>
    <w:rsid w:val="1DE80A4A"/>
    <w:rsid w:val="1F091EE6"/>
    <w:rsid w:val="2B4A12A9"/>
    <w:rsid w:val="2C262B40"/>
    <w:rsid w:val="30DD4713"/>
    <w:rsid w:val="33F75CA5"/>
    <w:rsid w:val="41C22257"/>
    <w:rsid w:val="422657C2"/>
    <w:rsid w:val="4E801891"/>
    <w:rsid w:val="4EDE7003"/>
    <w:rsid w:val="63923C64"/>
    <w:rsid w:val="7C170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
    <w:qFormat/>
    <w:uiPriority w:val="0"/>
    <w:pPr>
      <w:keepNext/>
      <w:keepLines/>
      <w:spacing w:before="340" w:after="330" w:line="576" w:lineRule="auto"/>
      <w:jc w:val="center"/>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39"/>
    <w:pPr>
      <w:tabs>
        <w:tab w:val="right" w:leader="dot" w:pos="8296"/>
      </w:tabs>
      <w:spacing w:line="276" w:lineRule="auto"/>
      <w:jc w:val="center"/>
    </w:pPr>
    <w:rPr>
      <w:rFonts w:eastAsia="仿宋_GB2312"/>
      <w:bCs/>
      <w:spacing w:val="-24"/>
      <w:kern w:val="0"/>
      <w:sz w:val="30"/>
      <w:szCs w:val="30"/>
    </w:rPr>
  </w:style>
  <w:style w:type="paragraph" w:styleId="4">
    <w:name w:val="Body Text Indent"/>
    <w:basedOn w:val="1"/>
    <w:link w:val="14"/>
    <w:qFormat/>
    <w:uiPriority w:val="0"/>
    <w:pPr>
      <w:spacing w:line="360" w:lineRule="auto"/>
      <w:ind w:right="-108" w:firstLine="720" w:firstLineChars="225"/>
      <w:jc w:val="left"/>
    </w:pPr>
    <w:rPr>
      <w:rFonts w:ascii="仿宋_GB2312" w:eastAsia="仿宋_GB2312"/>
      <w:sz w:val="32"/>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Indent 3"/>
    <w:basedOn w:val="1"/>
    <w:link w:val="15"/>
    <w:qFormat/>
    <w:uiPriority w:val="0"/>
    <w:pPr>
      <w:ind w:firstLine="727" w:firstLineChars="202"/>
    </w:pPr>
    <w:rPr>
      <w:rFonts w:ascii="楷体_GB2312" w:eastAsia="楷体_GB2312"/>
      <w:spacing w:val="20"/>
      <w:kern w:val="15"/>
      <w:sz w:val="32"/>
    </w:rPr>
  </w:style>
  <w:style w:type="character" w:styleId="10">
    <w:name w:val="Hyperlink"/>
    <w:qFormat/>
    <w:uiPriority w:val="99"/>
    <w:rPr>
      <w:color w:val="0000FF"/>
      <w:u w:val="single"/>
    </w:rPr>
  </w:style>
  <w:style w:type="character" w:customStyle="1" w:styleId="11">
    <w:name w:val="页眉 Char"/>
    <w:basedOn w:val="9"/>
    <w:link w:val="6"/>
    <w:semiHidden/>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标题 1 Char"/>
    <w:basedOn w:val="9"/>
    <w:link w:val="3"/>
    <w:qFormat/>
    <w:uiPriority w:val="0"/>
    <w:rPr>
      <w:rFonts w:ascii="Times New Roman" w:hAnsi="Times New Roman" w:eastAsia="宋体" w:cs="Times New Roman"/>
      <w:b/>
      <w:bCs/>
      <w:kern w:val="44"/>
      <w:sz w:val="44"/>
      <w:szCs w:val="44"/>
    </w:rPr>
  </w:style>
  <w:style w:type="character" w:customStyle="1" w:styleId="14">
    <w:name w:val="正文文本缩进 Char"/>
    <w:basedOn w:val="9"/>
    <w:link w:val="4"/>
    <w:qFormat/>
    <w:uiPriority w:val="0"/>
    <w:rPr>
      <w:rFonts w:ascii="仿宋_GB2312" w:hAnsi="Times New Roman" w:eastAsia="仿宋_GB2312" w:cs="Times New Roman"/>
      <w:sz w:val="32"/>
      <w:szCs w:val="24"/>
    </w:rPr>
  </w:style>
  <w:style w:type="character" w:customStyle="1" w:styleId="15">
    <w:name w:val="正文文本缩进 3 Char"/>
    <w:basedOn w:val="9"/>
    <w:link w:val="7"/>
    <w:qFormat/>
    <w:uiPriority w:val="0"/>
    <w:rPr>
      <w:rFonts w:ascii="楷体_GB2312" w:hAnsi="Times New Roman" w:eastAsia="楷体_GB2312" w:cs="Times New Roman"/>
      <w:spacing w:val="20"/>
      <w:kern w:val="15"/>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182</Words>
  <Characters>1044</Characters>
  <Lines>8</Lines>
  <Paragraphs>2</Paragraphs>
  <TotalTime>245</TotalTime>
  <ScaleCrop>false</ScaleCrop>
  <LinksUpToDate>false</LinksUpToDate>
  <CharactersWithSpaces>1224</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2024-06-22T02:26:00Z</dcterms:created>
  <dc:creator>admin1</dc:creator>
  <cp:lastModifiedBy>zlr</cp:lastModifiedBy>
  <cp:lastPrinted>2024-10-22T05:41:00Z</cp:lastPrinted>
  <dcterms:modified xsi:type="dcterms:W3CDTF">2024-10-23T01:58:01Z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